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BCA12">
      <w:pPr>
        <w:rPr>
          <w:rFonts w:ascii="仿宋" w:hAnsi="仿宋" w:eastAsia="仿宋" w:cs="仿宋"/>
          <w:sz w:val="30"/>
          <w:szCs w:val="30"/>
        </w:rPr>
      </w:pPr>
      <w:r>
        <w:rPr>
          <w:rFonts w:hint="eastAsia" w:ascii="仿宋" w:hAnsi="仿宋" w:eastAsia="仿宋" w:cs="仿宋"/>
          <w:sz w:val="30"/>
          <w:szCs w:val="30"/>
        </w:rPr>
        <w:t xml:space="preserve">附件2 </w:t>
      </w:r>
    </w:p>
    <w:p w14:paraId="574433BF">
      <w:pPr>
        <w:pStyle w:val="10"/>
        <w:shd w:val="clear" w:color="auto" w:fill="auto"/>
        <w:spacing w:line="467" w:lineRule="exact"/>
        <w:ind w:firstLine="0"/>
        <w:jc w:val="center"/>
        <w:rPr>
          <w:rFonts w:hint="default" w:ascii="仿宋" w:hAnsi="仿宋" w:eastAsia="仿宋" w:cs="仿宋"/>
          <w:b/>
          <w:bCs/>
          <w:sz w:val="32"/>
          <w:szCs w:val="32"/>
          <w:lang w:val="en-US"/>
        </w:rPr>
      </w:pPr>
      <w:r>
        <w:rPr>
          <w:rFonts w:ascii="仿宋" w:hAnsi="仿宋" w:eastAsia="仿宋" w:cs="仿宋"/>
          <w:bCs/>
          <w:sz w:val="32"/>
          <w:szCs w:val="32"/>
          <w:lang w:val="en-US"/>
        </w:rPr>
        <w:t>编制说明的内容</w:t>
      </w:r>
    </w:p>
    <w:p w14:paraId="5EB615CD">
      <w:pPr>
        <w:pStyle w:val="10"/>
        <w:shd w:val="clear" w:color="auto" w:fill="auto"/>
        <w:spacing w:line="467" w:lineRule="exact"/>
        <w:ind w:firstLine="0"/>
        <w:rPr>
          <w:rFonts w:hint="default" w:cs="宋体"/>
          <w:sz w:val="32"/>
          <w:szCs w:val="32"/>
          <w:lang w:val="en-US"/>
        </w:rPr>
      </w:pPr>
    </w:p>
    <w:p w14:paraId="007560C4">
      <w:pPr>
        <w:pStyle w:val="10"/>
        <w:shd w:val="clear" w:color="auto" w:fill="auto"/>
        <w:spacing w:line="240" w:lineRule="auto"/>
        <w:ind w:firstLine="0"/>
        <w:rPr>
          <w:rFonts w:hint="default" w:ascii="仿宋" w:hAnsi="仿宋" w:eastAsia="仿宋" w:cs="仿宋"/>
          <w:sz w:val="30"/>
          <w:szCs w:val="30"/>
          <w:lang w:val="en-US"/>
        </w:rPr>
      </w:pPr>
      <w:r>
        <w:rPr>
          <w:rFonts w:ascii="仿宋" w:hAnsi="仿宋" w:eastAsia="仿宋" w:cs="仿宋"/>
          <w:sz w:val="30"/>
          <w:szCs w:val="30"/>
          <w:lang w:val="en-US"/>
        </w:rPr>
        <w:t>编制说明的内容包括：</w:t>
      </w:r>
    </w:p>
    <w:p w14:paraId="194CD528">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一、工作简况，包括内容来源、协作单位、主要工作过程、标准主要起草人及其所做的工作等；</w:t>
      </w:r>
    </w:p>
    <w:p w14:paraId="56E5DA4B">
      <w:pPr>
        <w:pStyle w:val="10"/>
        <w:shd w:val="clear" w:color="auto" w:fill="auto"/>
        <w:spacing w:line="240" w:lineRule="auto"/>
        <w:ind w:firstLine="0"/>
        <w:rPr>
          <w:rFonts w:hint="default" w:ascii="仿宋" w:hAnsi="仿宋" w:eastAsia="仿宋" w:cs="仿宋"/>
          <w:sz w:val="30"/>
          <w:szCs w:val="30"/>
          <w:lang w:val="en-US"/>
        </w:rPr>
      </w:pPr>
      <w:r>
        <w:rPr>
          <w:rFonts w:ascii="仿宋" w:hAnsi="仿宋" w:eastAsia="仿宋" w:cs="仿宋"/>
          <w:sz w:val="30"/>
          <w:szCs w:val="30"/>
          <w:lang w:val="en-US"/>
        </w:rPr>
        <w:t xml:space="preserve">   1、工作简况</w:t>
      </w:r>
    </w:p>
    <w:p w14:paraId="6AC8F599">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本规程内容主要来源于山西省建筑科学研究院集团有限公司等单位在混凝土构件用脱模剂应用技术领域的研究成果和工程实践经验。同时，参考了国内相关标准和规范，如《混凝土结构工程施工规范》GB 50666、《混凝土结构工程施工质量验收规范》GB 50204、《混凝土制品用脱模剂》JC/T 949等，对脱模剂的产品分类、技术要求、施工操作及质量验收等环节进行了系统规定。</w:t>
      </w:r>
    </w:p>
    <w:p w14:paraId="5CC28BCB">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2、</w:t>
      </w:r>
      <w:r>
        <w:rPr>
          <w:rFonts w:hint="default" w:ascii="仿宋" w:hAnsi="仿宋" w:eastAsia="仿宋" w:cs="仿宋"/>
          <w:sz w:val="30"/>
          <w:szCs w:val="30"/>
          <w:lang w:val="en-US"/>
        </w:rPr>
        <w:t>协作单位</w:t>
      </w:r>
    </w:p>
    <w:p w14:paraId="39F77E96">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本规程的编制工作得到了多家单位的协作和支持，包括建华建材（山西）有限公司、山西建投晋东南建筑产业有限公司、山西建投装饰集团有限公司、长平工程有限公司、太原理工大学、山西建筑产业现代化（晋中）园区、山西省建筑装饰工程有限公司、山西建投装饰产业有限公司。这些单位在各自领域内具有丰富的技术经验和专业能力，为标准的制定提供了全方位的保障。</w:t>
      </w:r>
    </w:p>
    <w:p w14:paraId="123E0492">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3、主要工作过程</w:t>
      </w:r>
    </w:p>
    <w:p w14:paraId="194E3699">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1）</w:t>
      </w:r>
      <w:r>
        <w:rPr>
          <w:rFonts w:hint="default" w:ascii="仿宋" w:hAnsi="仿宋" w:eastAsia="仿宋" w:cs="仿宋"/>
          <w:sz w:val="30"/>
          <w:szCs w:val="30"/>
          <w:lang w:val="en-US"/>
        </w:rPr>
        <w:t>资料收集与调研阶段</w:t>
      </w:r>
      <w:r>
        <w:rPr>
          <w:rFonts w:ascii="仿宋" w:hAnsi="仿宋" w:eastAsia="仿宋" w:cs="仿宋"/>
          <w:sz w:val="30"/>
          <w:szCs w:val="30"/>
          <w:lang w:val="en-US"/>
        </w:rPr>
        <w:t>：编制组查阅了大量国内外脱模剂相关标准、规范和技术资料，对不同类型脱模剂在各类现浇或预制混凝土构件中应用的施工经验进行了广泛调研，掌握了行业的最新动态和技术水平。</w:t>
      </w:r>
    </w:p>
    <w:p w14:paraId="0FF0B5ED">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2）</w:t>
      </w:r>
      <w:r>
        <w:rPr>
          <w:rFonts w:hint="default" w:ascii="仿宋" w:hAnsi="仿宋" w:eastAsia="仿宋" w:cs="仿宋"/>
          <w:sz w:val="30"/>
          <w:szCs w:val="30"/>
          <w:lang w:val="en-US"/>
        </w:rPr>
        <w:t>起草与讨论阶段</w:t>
      </w:r>
      <w:r>
        <w:rPr>
          <w:rFonts w:ascii="仿宋" w:hAnsi="仿宋" w:eastAsia="仿宋" w:cs="仿宋"/>
          <w:sz w:val="30"/>
          <w:szCs w:val="30"/>
          <w:lang w:val="en-US"/>
        </w:rPr>
        <w:t>：根据收集的资料和调研结果，结合山西省实际情况，起草了标准的初稿。随后，组织多次内部讨论，对初稿进行逐条审议和修改，形成了征求意见稿。</w:t>
      </w:r>
    </w:p>
    <w:p w14:paraId="56C0A741">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3）</w:t>
      </w:r>
      <w:r>
        <w:rPr>
          <w:rFonts w:hint="default" w:ascii="仿宋" w:hAnsi="仿宋" w:eastAsia="仿宋" w:cs="仿宋"/>
          <w:sz w:val="30"/>
          <w:szCs w:val="30"/>
          <w:lang w:val="en-US"/>
        </w:rPr>
        <w:t>征求意见与修改阶段</w:t>
      </w:r>
      <w:r>
        <w:rPr>
          <w:rFonts w:ascii="仿宋" w:hAnsi="仿宋" w:eastAsia="仿宋" w:cs="仿宋"/>
          <w:sz w:val="30"/>
          <w:szCs w:val="30"/>
          <w:lang w:val="en-US"/>
        </w:rPr>
        <w:t>：</w:t>
      </w:r>
      <w:r>
        <w:rPr>
          <w:rFonts w:hint="default" w:ascii="仿宋" w:hAnsi="仿宋" w:eastAsia="仿宋" w:cs="仿宋"/>
          <w:sz w:val="30"/>
          <w:szCs w:val="30"/>
          <w:lang w:val="en-US"/>
        </w:rPr>
        <w:t>将征求意见稿广泛发放给行业内相关单位征求意见，根据反馈意见进行整理和分析，对标准内容进行了进一步的完善和优化，最终形成了送审稿。</w:t>
      </w:r>
    </w:p>
    <w:p w14:paraId="7FDA0646">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4、标准主要起草人及其所做的工作</w:t>
      </w:r>
    </w:p>
    <w:p w14:paraId="647BE8DF">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山西省建筑科学研究院集团有限公司</w:t>
      </w:r>
      <w:r>
        <w:rPr>
          <w:rFonts w:hint="default" w:ascii="仿宋" w:hAnsi="仿宋" w:eastAsia="仿宋" w:cs="仿宋"/>
          <w:sz w:val="30"/>
          <w:szCs w:val="30"/>
          <w:lang w:val="en-US"/>
        </w:rPr>
        <w:t xml:space="preserve">: </w:t>
      </w:r>
      <w:r>
        <w:rPr>
          <w:rFonts w:ascii="仿宋" w:hAnsi="仿宋" w:eastAsia="仿宋" w:cs="仿宋"/>
          <w:sz w:val="30"/>
          <w:szCs w:val="30"/>
          <w:lang w:val="en-US"/>
        </w:rPr>
        <w:t>负责规程的整体框架设计，以及总则、术语、验收和附录条文说明等核心内容的编写与统稿</w:t>
      </w:r>
      <w:r>
        <w:rPr>
          <w:rFonts w:hint="default" w:ascii="仿宋" w:hAnsi="仿宋" w:eastAsia="仿宋" w:cs="仿宋"/>
          <w:sz w:val="30"/>
          <w:szCs w:val="30"/>
          <w:lang w:val="en-US"/>
        </w:rPr>
        <w:t>。</w:t>
      </w:r>
    </w:p>
    <w:p w14:paraId="0F96D57F">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建华建材（山西）有限公司，山西建投晋东南建筑产业有限公司，山西建投装饰集团有限公司等参编单位</w:t>
      </w:r>
      <w:r>
        <w:rPr>
          <w:rFonts w:hint="default" w:ascii="仿宋" w:hAnsi="仿宋" w:eastAsia="仿宋" w:cs="仿宋"/>
          <w:sz w:val="30"/>
          <w:szCs w:val="30"/>
          <w:lang w:val="en-US"/>
        </w:rPr>
        <w:t xml:space="preserve">: </w:t>
      </w:r>
      <w:r>
        <w:rPr>
          <w:rFonts w:ascii="仿宋" w:hAnsi="仿宋" w:eastAsia="仿宋" w:cs="仿宋"/>
          <w:sz w:val="30"/>
          <w:szCs w:val="30"/>
          <w:lang w:val="en-US"/>
        </w:rPr>
        <w:t>参与规程的具体技术细节讨论和编写，包括脱模剂的技术要求、施工准备、操作工艺及成品保护等内容，并提供了大量的工程实践数据。</w:t>
      </w:r>
    </w:p>
    <w:p w14:paraId="2FD9624C">
      <w:pPr>
        <w:pStyle w:val="10"/>
        <w:shd w:val="clear" w:color="auto" w:fill="auto"/>
        <w:spacing w:line="240" w:lineRule="auto"/>
        <w:ind w:firstLine="600" w:firstLineChars="200"/>
        <w:rPr>
          <w:rFonts w:hint="default" w:ascii="仿宋" w:hAnsi="仿宋" w:eastAsia="仿宋" w:cs="仿宋"/>
          <w:sz w:val="30"/>
          <w:szCs w:val="30"/>
          <w:lang w:val="en-US"/>
        </w:rPr>
      </w:pPr>
      <w:r>
        <w:rPr>
          <w:rFonts w:hint="default" w:ascii="仿宋" w:hAnsi="仿宋" w:eastAsia="仿宋" w:cs="仿宋"/>
          <w:sz w:val="30"/>
          <w:szCs w:val="30"/>
          <w:lang w:val="en-US"/>
        </w:rPr>
        <w:t>其他参编单位: 提供行业内的实际应用经验和反馈意见，协助完善规程</w:t>
      </w:r>
      <w:r>
        <w:rPr>
          <w:rFonts w:ascii="仿宋" w:hAnsi="仿宋" w:eastAsia="仿宋" w:cs="仿宋"/>
          <w:sz w:val="30"/>
          <w:szCs w:val="30"/>
          <w:lang w:val="en-US"/>
        </w:rPr>
        <w:t>及</w:t>
      </w:r>
      <w:r>
        <w:rPr>
          <w:rFonts w:hint="default" w:ascii="仿宋" w:hAnsi="仿宋" w:eastAsia="仿宋" w:cs="仿宋"/>
          <w:sz w:val="30"/>
          <w:szCs w:val="30"/>
          <w:lang w:val="en-US"/>
        </w:rPr>
        <w:t>条文说明内容。</w:t>
      </w:r>
    </w:p>
    <w:p w14:paraId="7D18B427">
      <w:pPr>
        <w:pStyle w:val="10"/>
        <w:numPr>
          <w:ilvl w:val="0"/>
          <w:numId w:val="1"/>
        </w:numPr>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 xml:space="preserve">确定标准主要技术内容 </w:t>
      </w:r>
    </w:p>
    <w:p w14:paraId="18D5752E">
      <w:pPr>
        <w:pStyle w:val="10"/>
        <w:numPr>
          <w:ilvl w:val="0"/>
          <w:numId w:val="0"/>
        </w:numPr>
        <w:shd w:val="clear" w:color="auto" w:fill="auto"/>
        <w:spacing w:line="240" w:lineRule="auto"/>
        <w:ind w:firstLine="600" w:firstLineChars="200"/>
        <w:rPr>
          <w:rFonts w:hint="default" w:ascii="仿宋" w:hAnsi="仿宋" w:eastAsia="仿宋" w:cs="仿宋"/>
          <w:sz w:val="30"/>
          <w:szCs w:val="30"/>
          <w:lang w:val="en-US"/>
        </w:rPr>
      </w:pPr>
      <w:r>
        <w:rPr>
          <w:rFonts w:hint="default" w:ascii="仿宋" w:hAnsi="仿宋" w:eastAsia="仿宋" w:cs="仿宋"/>
          <w:sz w:val="30"/>
          <w:szCs w:val="30"/>
          <w:lang w:val="en-US"/>
        </w:rPr>
        <w:t>本规程主要明确了脱模剂的匀质性指标和使用性指标，其确定论据如下：</w:t>
      </w:r>
    </w:p>
    <w:p w14:paraId="37FCABB4">
      <w:pPr>
        <w:pStyle w:val="10"/>
        <w:numPr>
          <w:ilvl w:val="0"/>
          <w:numId w:val="0"/>
        </w:numPr>
        <w:shd w:val="clear" w:color="auto" w:fill="auto"/>
        <w:spacing w:line="240" w:lineRule="auto"/>
        <w:ind w:firstLine="600" w:firstLineChars="200"/>
        <w:rPr>
          <w:rFonts w:hint="default" w:ascii="仿宋" w:hAnsi="仿宋" w:eastAsia="仿宋" w:cs="仿宋"/>
          <w:sz w:val="30"/>
          <w:szCs w:val="30"/>
          <w:lang w:val="en-US"/>
        </w:rPr>
      </w:pPr>
      <w:r>
        <w:rPr>
          <w:rFonts w:hint="default" w:ascii="仿宋" w:hAnsi="仿宋" w:eastAsia="仿宋" w:cs="仿宋"/>
          <w:sz w:val="30"/>
          <w:szCs w:val="30"/>
          <w:lang w:val="en-US"/>
        </w:rPr>
        <w:t>1）匀质性指标：依据《混凝土制品用脱模剂》JC/T 949 的有关规定，针对液态和固态产品，明确了密度、粘度、pH值（不低于5.0）、含水率及稳定性要求。为了保证施工安全和成膜效率，明确规定产品闪点不低于65℃，油性脱模剂表面干燥成膜时间需控制在10min～50min之间。</w:t>
      </w:r>
    </w:p>
    <w:p w14:paraId="66FEA523">
      <w:pPr>
        <w:pStyle w:val="10"/>
        <w:numPr>
          <w:ilvl w:val="0"/>
          <w:numId w:val="0"/>
        </w:numPr>
        <w:shd w:val="clear" w:color="auto" w:fill="auto"/>
        <w:spacing w:line="240" w:lineRule="auto"/>
        <w:ind w:firstLine="600" w:firstLineChars="200"/>
        <w:rPr>
          <w:rFonts w:hint="default" w:ascii="仿宋" w:hAnsi="仿宋" w:eastAsia="仿宋" w:cs="仿宋"/>
          <w:sz w:val="30"/>
          <w:szCs w:val="30"/>
          <w:lang w:val="en-US"/>
        </w:rPr>
      </w:pPr>
      <w:r>
        <w:rPr>
          <w:rFonts w:hint="default" w:ascii="仿宋" w:hAnsi="仿宋" w:eastAsia="仿宋" w:cs="仿宋"/>
          <w:sz w:val="30"/>
          <w:szCs w:val="30"/>
          <w:lang w:val="en-US"/>
        </w:rPr>
        <w:t>2）使用性指标：参考 JC/T 949 的检测方法，为了确保脱模效果和构件质量，规定脱模性能必须达到“顺利脱模，保持棱角完整无损，表面光滑；混凝土粘附量不大于4.0g/m²”。</w:t>
      </w:r>
    </w:p>
    <w:p w14:paraId="479B072A">
      <w:pPr>
        <w:pStyle w:val="10"/>
        <w:numPr>
          <w:ilvl w:val="0"/>
          <w:numId w:val="0"/>
        </w:numPr>
        <w:shd w:val="clear" w:color="auto" w:fill="auto"/>
        <w:spacing w:line="240" w:lineRule="auto"/>
        <w:ind w:firstLine="600" w:firstLineChars="200"/>
        <w:rPr>
          <w:rFonts w:hint="default" w:ascii="仿宋" w:hAnsi="仿宋" w:eastAsia="仿宋" w:cs="仿宋"/>
          <w:sz w:val="30"/>
          <w:szCs w:val="30"/>
          <w:lang w:val="en-US"/>
        </w:rPr>
      </w:pPr>
      <w:r>
        <w:rPr>
          <w:rFonts w:hint="default" w:ascii="仿宋" w:hAnsi="仿宋" w:eastAsia="仿宋" w:cs="仿宋"/>
          <w:sz w:val="30"/>
          <w:szCs w:val="30"/>
          <w:lang w:val="en-US"/>
        </w:rPr>
        <w:t>3）混凝土表面二次作业性：为了不影响后续抹灰和饰面施工，规定脱模剂对混凝土表面进行抹面等二次作业无不利影响，粘结强度比不小于0.85。</w:t>
      </w:r>
    </w:p>
    <w:p w14:paraId="596E8F55">
      <w:pPr>
        <w:pStyle w:val="10"/>
        <w:numPr>
          <w:ilvl w:val="0"/>
          <w:numId w:val="0"/>
        </w:numPr>
        <w:shd w:val="clear" w:color="auto" w:fill="auto"/>
        <w:spacing w:line="240" w:lineRule="auto"/>
        <w:ind w:firstLine="600" w:firstLineChars="200"/>
        <w:rPr>
          <w:rFonts w:hint="default" w:ascii="仿宋" w:hAnsi="仿宋" w:eastAsia="仿宋" w:cs="仿宋"/>
          <w:sz w:val="30"/>
          <w:szCs w:val="30"/>
          <w:lang w:val="en-US"/>
        </w:rPr>
      </w:pPr>
      <w:r>
        <w:rPr>
          <w:rFonts w:hint="default" w:ascii="仿宋" w:hAnsi="仿宋" w:eastAsia="仿宋" w:cs="仿宋"/>
          <w:sz w:val="30"/>
          <w:szCs w:val="30"/>
          <w:lang w:val="en-US"/>
        </w:rPr>
        <w:t>4）极限使用温度：脱模剂必须能适应混凝土制品的养护工艺（如蒸汽养护等），在达到工艺温度参数的极限条件下，脱模性能仍需合格。</w:t>
      </w:r>
    </w:p>
    <w:p w14:paraId="029162D1">
      <w:pPr>
        <w:pStyle w:val="10"/>
        <w:numPr>
          <w:ilvl w:val="0"/>
          <w:numId w:val="1"/>
        </w:numPr>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采用国际标准的程度及水平的简要说明：</w:t>
      </w:r>
    </w:p>
    <w:p w14:paraId="049A3414">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在编制本规程过程中，充分考虑了国内现行国家及行业标准的相关内容和先进经验，确保标准的科学性和准确性。同时，本规程针对水性、油性脱模剂在不同粘度下的具体分类及施工工艺进行了细化，其实用性和技术指标达到了国内同类标准的先进水平，契合了当前装配式建筑和现浇混凝土工程的高质量发展需求。</w:t>
      </w:r>
    </w:p>
    <w:p w14:paraId="5509D0CF">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四、重大分歧意见的处理经过和依据；</w:t>
      </w:r>
    </w:p>
    <w:p w14:paraId="0987302B">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在标准制定过程中，未提及重大分歧意见。所有技术内容均经过参编单位、专家及相关方协商一致，确保标准的科学性和可操作性。</w:t>
      </w:r>
    </w:p>
    <w:p w14:paraId="5C2A3DA5">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五、其它应予说明的事项。</w:t>
      </w:r>
    </w:p>
    <w:p w14:paraId="648FC26A">
      <w:pPr>
        <w:pStyle w:val="10"/>
        <w:shd w:val="clear" w:color="auto" w:fill="auto"/>
        <w:spacing w:line="24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本规程在制定过程中充分考虑了工程一线的环保与施工安全需求（如强调无毒无刺激气味、重金属限量、室外施工天气考量及废液回收处理等），具有较强的针对性和实用性。标准的实施将有助于规范混凝土构件用脱模剂的选择和应用，提高脱模效率和混凝土外观质量。</w:t>
      </w:r>
    </w:p>
    <w:p w14:paraId="11A349C6">
      <w:pPr>
        <w:pStyle w:val="10"/>
        <w:shd w:val="clear" w:color="auto" w:fill="auto"/>
        <w:spacing w:line="240" w:lineRule="auto"/>
        <w:ind w:firstLine="0"/>
        <w:rPr>
          <w:rFonts w:hint="default" w:ascii="仿宋" w:hAnsi="仿宋" w:eastAsia="仿宋" w:cs="仿宋"/>
          <w:sz w:val="30"/>
          <w:szCs w:val="30"/>
          <w:lang w:val="en-US"/>
        </w:rPr>
      </w:pPr>
    </w:p>
    <w:p w14:paraId="5BECD5DA">
      <w:pPr>
        <w:pStyle w:val="10"/>
        <w:shd w:val="clear" w:color="auto" w:fill="auto"/>
        <w:spacing w:line="240" w:lineRule="auto"/>
        <w:ind w:firstLine="0"/>
        <w:rPr>
          <w:rFonts w:hint="default" w:ascii="仿宋" w:hAnsi="仿宋" w:eastAsia="仿宋" w:cs="仿宋"/>
          <w:sz w:val="30"/>
          <w:szCs w:val="30"/>
          <w:lang w:val="en-US"/>
        </w:rPr>
      </w:pPr>
    </w:p>
    <w:p w14:paraId="6F2A04AE">
      <w:pPr>
        <w:pStyle w:val="10"/>
        <w:shd w:val="clear" w:color="auto" w:fill="auto"/>
        <w:spacing w:line="240" w:lineRule="auto"/>
        <w:ind w:firstLine="0"/>
        <w:rPr>
          <w:rFonts w:hint="default" w:ascii="仿宋" w:hAnsi="仿宋" w:eastAsia="仿宋" w:cs="仿宋"/>
          <w:sz w:val="30"/>
          <w:szCs w:val="30"/>
          <w:lang w:val="en-US"/>
        </w:rPr>
      </w:pPr>
    </w:p>
    <w:p w14:paraId="167E1C43">
      <w:pPr>
        <w:pStyle w:val="10"/>
        <w:shd w:val="clear" w:color="auto" w:fill="auto"/>
        <w:spacing w:line="240" w:lineRule="auto"/>
        <w:ind w:firstLine="0"/>
        <w:rPr>
          <w:rFonts w:hint="default" w:ascii="仿宋" w:hAnsi="仿宋" w:eastAsia="仿宋" w:cs="仿宋"/>
          <w:sz w:val="30"/>
          <w:szCs w:val="30"/>
          <w:lang w:val="en-US"/>
        </w:rPr>
      </w:pPr>
    </w:p>
    <w:p w14:paraId="311DE036">
      <w:pPr>
        <w:pStyle w:val="10"/>
        <w:shd w:val="clear" w:color="auto" w:fill="auto"/>
        <w:spacing w:line="240" w:lineRule="auto"/>
        <w:ind w:firstLine="0"/>
        <w:rPr>
          <w:rFonts w:hint="default" w:ascii="仿宋" w:hAnsi="仿宋" w:eastAsia="仿宋" w:cs="仿宋"/>
          <w:sz w:val="30"/>
          <w:szCs w:val="30"/>
          <w:lang w:val="en-US"/>
        </w:rPr>
      </w:pPr>
    </w:p>
    <w:p w14:paraId="00026B0F">
      <w:pPr>
        <w:pStyle w:val="10"/>
        <w:shd w:val="clear" w:color="auto" w:fill="auto"/>
        <w:spacing w:line="240" w:lineRule="auto"/>
        <w:ind w:firstLine="0"/>
        <w:rPr>
          <w:rFonts w:hint="default" w:ascii="仿宋" w:hAnsi="仿宋" w:eastAsia="仿宋" w:cs="仿宋"/>
          <w:sz w:val="30"/>
          <w:szCs w:val="30"/>
          <w:lang w:val="en-US"/>
        </w:rPr>
      </w:pPr>
    </w:p>
    <w:p w14:paraId="6CFC105A">
      <w:pPr>
        <w:pStyle w:val="10"/>
        <w:shd w:val="clear" w:color="auto" w:fill="auto"/>
        <w:spacing w:line="467" w:lineRule="exact"/>
        <w:ind w:firstLine="0"/>
        <w:rPr>
          <w:rFonts w:hint="default" w:ascii="仿宋" w:hAnsi="仿宋" w:eastAsia="仿宋" w:cs="仿宋"/>
          <w:sz w:val="28"/>
          <w:szCs w:val="28"/>
          <w:lang w:val="en-US"/>
        </w:rPr>
      </w:pPr>
    </w:p>
    <w:p w14:paraId="1800CFED">
      <w:pPr>
        <w:pStyle w:val="10"/>
        <w:shd w:val="clear" w:color="auto" w:fill="auto"/>
        <w:spacing w:line="467" w:lineRule="exact"/>
        <w:ind w:firstLine="0"/>
        <w:rPr>
          <w:rFonts w:hint="default" w:ascii="仿宋" w:hAnsi="仿宋" w:eastAsia="仿宋" w:cs="仿宋"/>
          <w:sz w:val="28"/>
          <w:szCs w:val="28"/>
          <w:lang w:val="en-US"/>
        </w:rPr>
      </w:pPr>
    </w:p>
    <w:p w14:paraId="30270724">
      <w:pPr>
        <w:pStyle w:val="10"/>
        <w:shd w:val="clear" w:color="auto" w:fill="auto"/>
        <w:spacing w:line="467" w:lineRule="exact"/>
        <w:ind w:firstLine="0"/>
        <w:rPr>
          <w:rFonts w:hint="default" w:ascii="仿宋" w:hAnsi="仿宋" w:eastAsia="仿宋" w:cs="仿宋"/>
          <w:sz w:val="28"/>
          <w:szCs w:val="28"/>
          <w:lang w:val="en-US"/>
        </w:rPr>
      </w:pPr>
    </w:p>
    <w:p w14:paraId="5952CF24">
      <w:pPr>
        <w:pStyle w:val="10"/>
        <w:shd w:val="clear" w:color="auto" w:fill="auto"/>
        <w:spacing w:line="467" w:lineRule="exact"/>
        <w:ind w:firstLine="0"/>
        <w:rPr>
          <w:rFonts w:hint="default" w:ascii="仿宋" w:hAnsi="仿宋" w:eastAsia="仿宋" w:cs="仿宋"/>
          <w:sz w:val="28"/>
          <w:szCs w:val="28"/>
          <w:lang w:val="en-US"/>
        </w:rPr>
      </w:pPr>
    </w:p>
    <w:p w14:paraId="7025DE82">
      <w:pPr>
        <w:pStyle w:val="10"/>
        <w:shd w:val="clear" w:color="auto" w:fill="auto"/>
        <w:spacing w:line="467" w:lineRule="exact"/>
        <w:ind w:firstLine="0"/>
        <w:rPr>
          <w:rFonts w:hint="default" w:cs="宋体"/>
          <w:sz w:val="28"/>
          <w:szCs w:val="28"/>
          <w:lang w:val="en-US"/>
        </w:rPr>
      </w:pPr>
    </w:p>
    <w:p w14:paraId="1FB303B7">
      <w:pPr>
        <w:pStyle w:val="10"/>
        <w:shd w:val="clear" w:color="auto" w:fill="auto"/>
        <w:spacing w:line="467" w:lineRule="exact"/>
        <w:ind w:firstLine="0"/>
        <w:rPr>
          <w:rFonts w:hint="default" w:cs="宋体"/>
          <w:sz w:val="28"/>
          <w:szCs w:val="28"/>
          <w:lang w:val="en-US"/>
        </w:rPr>
      </w:pPr>
    </w:p>
    <w:p w14:paraId="77AA2ACD">
      <w:pPr>
        <w:pStyle w:val="10"/>
        <w:shd w:val="clear" w:color="auto" w:fill="auto"/>
        <w:spacing w:line="467" w:lineRule="exact"/>
        <w:ind w:firstLine="0"/>
        <w:rPr>
          <w:rFonts w:hint="default" w:cs="宋体"/>
          <w:sz w:val="28"/>
          <w:szCs w:val="28"/>
          <w:lang w:val="en-US"/>
        </w:rPr>
      </w:pPr>
    </w:p>
    <w:p w14:paraId="17DFF9AF">
      <w:pPr>
        <w:pStyle w:val="10"/>
        <w:shd w:val="clear" w:color="auto" w:fill="auto"/>
        <w:spacing w:line="240" w:lineRule="auto"/>
        <w:ind w:firstLine="0"/>
        <w:rPr>
          <w:rFonts w:hint="default" w:ascii="仿宋" w:hAnsi="仿宋" w:eastAsia="仿宋" w:cs="仿宋"/>
          <w:sz w:val="30"/>
          <w:szCs w:val="30"/>
          <w:lang w:val="en-US"/>
        </w:rPr>
      </w:pPr>
    </w:p>
    <w:p w14:paraId="01B5C5E7">
      <w:pPr>
        <w:pStyle w:val="10"/>
        <w:shd w:val="clear" w:color="auto" w:fill="auto"/>
        <w:spacing w:line="240" w:lineRule="auto"/>
        <w:ind w:firstLine="0"/>
        <w:rPr>
          <w:rFonts w:hint="default" w:ascii="仿宋" w:hAnsi="仿宋" w:eastAsia="仿宋" w:cs="仿宋"/>
          <w:sz w:val="30"/>
          <w:szCs w:val="30"/>
          <w:lang w:val="en-US"/>
        </w:rPr>
      </w:pPr>
    </w:p>
    <w:p w14:paraId="649D4FDE">
      <w:pPr>
        <w:pStyle w:val="10"/>
        <w:shd w:val="clear" w:color="auto" w:fill="auto"/>
        <w:spacing w:line="240" w:lineRule="auto"/>
        <w:ind w:firstLine="0"/>
        <w:rPr>
          <w:rFonts w:hint="default" w:ascii="仿宋" w:hAnsi="仿宋" w:eastAsia="仿宋" w:cs="仿宋"/>
          <w:lang w:val="en-US"/>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08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3DA1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53DA1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F89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F273"/>
    <w:multiLevelType w:val="singleLevel"/>
    <w:tmpl w:val="89FDF27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CB"/>
    <w:rsid w:val="0009469E"/>
    <w:rsid w:val="000A3FCB"/>
    <w:rsid w:val="000D354B"/>
    <w:rsid w:val="0010236B"/>
    <w:rsid w:val="002648E3"/>
    <w:rsid w:val="005A63D8"/>
    <w:rsid w:val="006021D2"/>
    <w:rsid w:val="00625C6C"/>
    <w:rsid w:val="00625FC4"/>
    <w:rsid w:val="006E3F56"/>
    <w:rsid w:val="007B0FF9"/>
    <w:rsid w:val="008835F1"/>
    <w:rsid w:val="00A04B36"/>
    <w:rsid w:val="00A7599B"/>
    <w:rsid w:val="00C73DCD"/>
    <w:rsid w:val="02355837"/>
    <w:rsid w:val="05EC26B0"/>
    <w:rsid w:val="068B1EC9"/>
    <w:rsid w:val="06E15F8D"/>
    <w:rsid w:val="0781723B"/>
    <w:rsid w:val="082A74C0"/>
    <w:rsid w:val="08986B20"/>
    <w:rsid w:val="091F4B4B"/>
    <w:rsid w:val="0B095AB3"/>
    <w:rsid w:val="0C517711"/>
    <w:rsid w:val="0C8E44C1"/>
    <w:rsid w:val="11F8062F"/>
    <w:rsid w:val="12B66520"/>
    <w:rsid w:val="132E255A"/>
    <w:rsid w:val="137D703E"/>
    <w:rsid w:val="14DE1D5E"/>
    <w:rsid w:val="19832ED4"/>
    <w:rsid w:val="19962C07"/>
    <w:rsid w:val="1B9413C8"/>
    <w:rsid w:val="1C646FED"/>
    <w:rsid w:val="1D4B1F5B"/>
    <w:rsid w:val="1D4C2776"/>
    <w:rsid w:val="1DBC4C07"/>
    <w:rsid w:val="1E1467F1"/>
    <w:rsid w:val="200D1749"/>
    <w:rsid w:val="20EC5803"/>
    <w:rsid w:val="219C0FD7"/>
    <w:rsid w:val="21A63C04"/>
    <w:rsid w:val="270A0791"/>
    <w:rsid w:val="29B175E9"/>
    <w:rsid w:val="2AD03A9F"/>
    <w:rsid w:val="2BB37649"/>
    <w:rsid w:val="2D6F75A0"/>
    <w:rsid w:val="31D65E3F"/>
    <w:rsid w:val="33323549"/>
    <w:rsid w:val="33B65F28"/>
    <w:rsid w:val="372E2279"/>
    <w:rsid w:val="378D51F2"/>
    <w:rsid w:val="38642E99"/>
    <w:rsid w:val="39CE38A0"/>
    <w:rsid w:val="3B8D3BAB"/>
    <w:rsid w:val="3C1063F2"/>
    <w:rsid w:val="3C2D0D52"/>
    <w:rsid w:val="3C972695"/>
    <w:rsid w:val="3E1026D9"/>
    <w:rsid w:val="3E7E3AE6"/>
    <w:rsid w:val="3EC3599D"/>
    <w:rsid w:val="4028409E"/>
    <w:rsid w:val="409444EC"/>
    <w:rsid w:val="40C8729B"/>
    <w:rsid w:val="42BA70B7"/>
    <w:rsid w:val="430D5439"/>
    <w:rsid w:val="443609BF"/>
    <w:rsid w:val="454D4212"/>
    <w:rsid w:val="45C51FFB"/>
    <w:rsid w:val="470D5A07"/>
    <w:rsid w:val="472C640A"/>
    <w:rsid w:val="49D942C7"/>
    <w:rsid w:val="4A070E34"/>
    <w:rsid w:val="4AA06B93"/>
    <w:rsid w:val="4AD66A58"/>
    <w:rsid w:val="4B234855"/>
    <w:rsid w:val="4C39729F"/>
    <w:rsid w:val="4C9C5D9C"/>
    <w:rsid w:val="4CA30BBC"/>
    <w:rsid w:val="4E6E5852"/>
    <w:rsid w:val="5119769F"/>
    <w:rsid w:val="54152E06"/>
    <w:rsid w:val="58C12619"/>
    <w:rsid w:val="59E7658C"/>
    <w:rsid w:val="5E993BCD"/>
    <w:rsid w:val="5EDD7F5D"/>
    <w:rsid w:val="5F700DD2"/>
    <w:rsid w:val="5F890D73"/>
    <w:rsid w:val="606704E8"/>
    <w:rsid w:val="60D61108"/>
    <w:rsid w:val="61FA4049"/>
    <w:rsid w:val="623600B0"/>
    <w:rsid w:val="626764BC"/>
    <w:rsid w:val="659770B8"/>
    <w:rsid w:val="674A015A"/>
    <w:rsid w:val="689E075E"/>
    <w:rsid w:val="69BD4C13"/>
    <w:rsid w:val="6A06480C"/>
    <w:rsid w:val="6BBE1B91"/>
    <w:rsid w:val="6BBE7F95"/>
    <w:rsid w:val="6BDA7CFF"/>
    <w:rsid w:val="6C787517"/>
    <w:rsid w:val="6D21195D"/>
    <w:rsid w:val="6D2F407A"/>
    <w:rsid w:val="6D6C2BD8"/>
    <w:rsid w:val="6E0B0643"/>
    <w:rsid w:val="73F51937"/>
    <w:rsid w:val="7423420D"/>
    <w:rsid w:val="75C35B22"/>
    <w:rsid w:val="793B5B55"/>
    <w:rsid w:val="79425135"/>
    <w:rsid w:val="7A4A24F3"/>
    <w:rsid w:val="7A8B6668"/>
    <w:rsid w:val="7A8F3624"/>
    <w:rsid w:val="7AF52EC8"/>
    <w:rsid w:val="7D0270B5"/>
    <w:rsid w:val="7E105802"/>
    <w:rsid w:val="7E445FC2"/>
    <w:rsid w:val="7E7C3DC1"/>
    <w:rsid w:val="7EE3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Body Text First Indent 2"/>
    <w:basedOn w:val="3"/>
    <w:uiPriority w:val="0"/>
    <w:pPr>
      <w:ind w:firstLine="420" w:firstLineChars="200"/>
    </w:pPr>
  </w:style>
  <w:style w:type="character" w:styleId="9">
    <w:name w:val="Strong"/>
    <w:basedOn w:val="8"/>
    <w:qFormat/>
    <w:uiPriority w:val="0"/>
    <w:rPr>
      <w:b/>
    </w:rPr>
  </w:style>
  <w:style w:type="paragraph" w:customStyle="1" w:styleId="10">
    <w:name w:val="正文文本1"/>
    <w:basedOn w:val="1"/>
    <w:autoRedefine/>
    <w:unhideWhenUsed/>
    <w:qFormat/>
    <w:uiPriority w:val="99"/>
    <w:pPr>
      <w:shd w:val="clear" w:color="auto" w:fill="FFFFFF"/>
      <w:spacing w:line="391" w:lineRule="auto"/>
      <w:ind w:firstLine="400"/>
    </w:pPr>
    <w:rPr>
      <w:rFonts w:hint="eastAsia" w:ascii="宋体" w:hAnsi="宋体"/>
      <w:sz w:val="24"/>
      <w:lang w:val="zh-CN"/>
    </w:rPr>
  </w:style>
  <w:style w:type="character" w:customStyle="1" w:styleId="11">
    <w:name w:val="页眉 字符"/>
    <w:basedOn w:val="8"/>
    <w:link w:val="5"/>
    <w:qFormat/>
    <w:uiPriority w:val="0"/>
    <w:rPr>
      <w:rFonts w:ascii="Calibri" w:hAnsi="Calibri"/>
      <w:kern w:val="2"/>
      <w:sz w:val="18"/>
      <w:szCs w:val="18"/>
    </w:rPr>
  </w:style>
  <w:style w:type="character" w:customStyle="1" w:styleId="12">
    <w:name w:val="页脚 字符"/>
    <w:basedOn w:val="8"/>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1932</Words>
  <Characters>2007</Characters>
  <Lines>14</Lines>
  <Paragraphs>4</Paragraphs>
  <TotalTime>1</TotalTime>
  <ScaleCrop>false</ScaleCrop>
  <LinksUpToDate>false</LinksUpToDate>
  <CharactersWithSpaces>2026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2026-05-20T08:30:00Z</dcterms:created>
  <dc:creator>wff1995123</dc:creator>
  <cp:lastModifiedBy>芳芳</cp:lastModifiedBy>
  <dcterms:modified xsi:type="dcterms:W3CDTF">2026-06-08T00:51:06Z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483A52AD14DA4F7EA12956F548F92761_13</vt:lpwstr>
  </property>
  <property fmtid="{D5CDD505-2E9C-101B-9397-08002B2CF9AE}" pid="4" name="KSOTemplateDocerSaveRecord">
    <vt:lpwstr>eyJoZGlkIjoiNTJlZWE1MzIxMjg3MmMwNTgyOWRkOTNiM2RhNGM3NzciLCJ1c2VySWQiOiIyNzg4NzgzMjUifQ==</vt:lpwstr>
  </property>
</Properties>
</file>