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215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山西省防水保温行业协会理事会制度</w:t>
      </w:r>
    </w:p>
    <w:p w14:paraId="38B09697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(本办法于20</w:t>
      </w:r>
      <w:r>
        <w:rPr>
          <w:rFonts w:hint="eastAsia" w:ascii="宋体" w:hAnsi="宋体" w:eastAsia="宋体" w:cs="宋体"/>
          <w:lang w:val="en-US" w:eastAsia="zh-CN"/>
        </w:rPr>
        <w:t>24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14</w:t>
      </w:r>
      <w:r>
        <w:rPr>
          <w:rFonts w:hint="eastAsia" w:ascii="宋体" w:hAnsi="宋体" w:eastAsia="宋体" w:cs="宋体"/>
        </w:rPr>
        <w:t>日经</w:t>
      </w:r>
      <w:r>
        <w:rPr>
          <w:rFonts w:hint="eastAsia" w:ascii="宋体" w:hAnsi="宋体" w:eastAsia="宋体" w:cs="宋体"/>
          <w:lang w:val="en-US" w:eastAsia="zh-CN"/>
        </w:rPr>
        <w:t>山西省防水保温行业协会二</w:t>
      </w:r>
      <w:r>
        <w:rPr>
          <w:rFonts w:hint="eastAsia" w:ascii="宋体" w:hAnsi="宋体" w:eastAsia="宋体" w:cs="宋体"/>
        </w:rPr>
        <w:t>届</w:t>
      </w:r>
      <w:r>
        <w:rPr>
          <w:rFonts w:hint="eastAsia" w:ascii="宋体" w:hAnsi="宋体" w:eastAsia="宋体" w:cs="宋体"/>
          <w:lang w:val="en-US" w:eastAsia="zh-CN"/>
        </w:rPr>
        <w:t>二</w:t>
      </w:r>
      <w:r>
        <w:rPr>
          <w:rFonts w:hint="eastAsia" w:ascii="宋体" w:hAnsi="宋体" w:eastAsia="宋体" w:cs="宋体"/>
        </w:rPr>
        <w:t>次</w:t>
      </w:r>
      <w:r>
        <w:rPr>
          <w:rFonts w:hint="eastAsia" w:ascii="宋体" w:hAnsi="宋体" w:eastAsia="宋体" w:cs="宋体"/>
          <w:lang w:eastAsia="zh-CN"/>
        </w:rPr>
        <w:t>会员大会</w:t>
      </w:r>
    </w:p>
    <w:p w14:paraId="5797F3E2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</w:rPr>
        <w:t>审议通过)</w:t>
      </w:r>
    </w:p>
    <w:p w14:paraId="26B2EE4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第一章 总则</w:t>
      </w:r>
    </w:p>
    <w:p w14:paraId="06D0DF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为规范本协会理事会运作，明确职责权限，保障协会健康发展，根据国家有关法律法规及《山西省防水保温行业协会章程》，制定本制度。</w:t>
      </w:r>
    </w:p>
    <w:p w14:paraId="002507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理事会是会员大会的常设执行机构，在会员大会闭会期间领导协会开展工作，对会员大会负责。</w:t>
      </w:r>
    </w:p>
    <w:p w14:paraId="6314E5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理事会坚持民主集中制，依法依规、公开透明、规范高效开展工作。</w:t>
      </w:r>
    </w:p>
    <w:p w14:paraId="755E794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第二章 理事与理事会组成</w:t>
      </w:r>
    </w:p>
    <w:p w14:paraId="4FE42B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理事由会员大会无记名投票选举产生，任期5年，可连选连任，连任一般不超过两届。</w:t>
      </w:r>
    </w:p>
    <w:p w14:paraId="4BF68D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理事会人数为单数，人数不超过会员总数的 1/3。</w:t>
      </w:r>
    </w:p>
    <w:p w14:paraId="595DEF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第六条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理事应当具备下列条件：</w:t>
      </w:r>
    </w:p>
    <w:p w14:paraId="33CA50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（一）拥护本协会章程，热心协会工作；</w:t>
      </w:r>
    </w:p>
    <w:p w14:paraId="349309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（二）在本行业领域具有一定影响和代表性；</w:t>
      </w:r>
    </w:p>
    <w:p w14:paraId="466F16D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（三）诚实守信，遵纪守法，无不良信用记录；</w:t>
      </w:r>
    </w:p>
    <w:p w14:paraId="46FCA2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（四）具备相应履职能力，能正常参加理事会活动。</w:t>
      </w:r>
    </w:p>
    <w:p w14:paraId="6AD7C6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第七条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有下列情形之一的，不得担任理事：</w:t>
      </w:r>
    </w:p>
    <w:p w14:paraId="1F85A2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（一）正在被执行刑罚或被剥夺政治权利的；</w:t>
      </w:r>
    </w:p>
    <w:p w14:paraId="57F1CC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（二）被列入失信被执行人名单的；</w:t>
      </w:r>
    </w:p>
    <w:p w14:paraId="334349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（三）法律法规规定不得担任的其他情形。</w:t>
      </w:r>
    </w:p>
    <w:p w14:paraId="69FED29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第三章 理事会职权</w:t>
      </w:r>
    </w:p>
    <w:p w14:paraId="66B3D9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第八条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理事会行使下列职权：</w:t>
      </w:r>
    </w:p>
    <w:p w14:paraId="7DB1B4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（一）执行会员大会的决议；</w:t>
      </w:r>
    </w:p>
    <w:p w14:paraId="789FA9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（二）选举和罢免会长、副会长、秘书长；</w:t>
      </w:r>
    </w:p>
    <w:p w14:paraId="0133A7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（三）筹备召开会员大会；</w:t>
      </w:r>
    </w:p>
    <w:p w14:paraId="4F6BD1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（四）向会员大会报告工作和财务状况；</w:t>
      </w:r>
    </w:p>
    <w:p w14:paraId="559545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（五）决定会员的吸收或除名；</w:t>
      </w:r>
    </w:p>
    <w:p w14:paraId="7A4B8C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（六）决定设立办事机构、分支机构、代表机构和实体机构；</w:t>
      </w:r>
    </w:p>
    <w:p w14:paraId="6E666F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（七）决定副秘书长、各机构主要负责人的聘任；</w:t>
      </w:r>
    </w:p>
    <w:p w14:paraId="31D7C2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（八）领导本会各机构开展工作；</w:t>
      </w:r>
    </w:p>
    <w:p w14:paraId="52897E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（九）制定内部管理制度；</w:t>
      </w:r>
    </w:p>
    <w:p w14:paraId="5D7345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（十）进行奖励和表彰工作；</w:t>
      </w:r>
    </w:p>
    <w:p w14:paraId="4BD060F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（十一）决定其他重大事项。</w:t>
      </w:r>
    </w:p>
    <w:p w14:paraId="75CC3EE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第四章 会议制度</w:t>
      </w:r>
    </w:p>
    <w:p w14:paraId="18BD246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第九条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理事会每年至少召开一次会议；情况特殊的，也可采用通讯形式召开。有下列情形之一的，应当召开临时理事会：</w:t>
      </w:r>
    </w:p>
    <w:p w14:paraId="254CCAC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（一）会长提议；</w:t>
      </w:r>
    </w:p>
    <w:p w14:paraId="62BF751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（二）1/5 以上理事联名提议；</w:t>
      </w:r>
    </w:p>
    <w:p w14:paraId="5637834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>监事会提议。</w:t>
      </w:r>
    </w:p>
    <w:p w14:paraId="00F5831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 w:rightChars="0" w:firstLine="60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召开理事会会议，会长或召集人需提前5日通知全体理事、监事。理事会须有2／3以上理事出席方能召开，其决议须经到会理事1/2以上表决通过方能生效。</w:t>
      </w:r>
    </w:p>
    <w:p w14:paraId="435140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第十一条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理事会会议应当形成会议纪要，由主持人、记录人签字，存档备查。</w:t>
      </w:r>
    </w:p>
    <w:p w14:paraId="56EEF8B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center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第五章 附则</w:t>
      </w:r>
    </w:p>
    <w:p w14:paraId="05373C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第十二条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本制度经2024年6月14日第二届二次会员大会表决通过。</w:t>
      </w:r>
    </w:p>
    <w:p w14:paraId="64825E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第十三条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本制度由协会理事会负责解释。</w:t>
      </w:r>
    </w:p>
    <w:p w14:paraId="45A3DF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firstLine="602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第十四条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  <w:t xml:space="preserve"> 本制度与法律法规、章程不一致的，以法律法规和章程为准。</w:t>
      </w:r>
    </w:p>
    <w:p w14:paraId="4FE63CE2">
      <w:pPr>
        <w:spacing w:line="360" w:lineRule="auto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0"/>
          <w:szCs w:val="30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3B97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BB3C7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BB3C7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5AD41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FF8D47"/>
    <w:multiLevelType w:val="singleLevel"/>
    <w:tmpl w:val="BDFF8D4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wZDc5NjZkZWU5ODkyYzk0NzRmZDc4YWU2MDkyNzQifQ=="/>
  </w:docVars>
  <w:rsids>
    <w:rsidRoot w:val="00000000"/>
    <w:rsid w:val="0A5D4587"/>
    <w:rsid w:val="1A4528CF"/>
    <w:rsid w:val="24AF4E3E"/>
    <w:rsid w:val="2BDE26C0"/>
    <w:rsid w:val="3164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922</Words>
  <Characters>936</Characters>
  <Lines>0</Lines>
  <Paragraphs>0</Paragraphs>
  <TotalTime>0</TotalTime>
  <ScaleCrop>false</ScaleCrop>
  <LinksUpToDate>false</LinksUpToDate>
  <CharactersWithSpaces>957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2026-04-05T08:45:00Z</dcterms:created>
  <dc:creator>WFF</dc:creator>
  <cp:lastModifiedBy>芳芳</cp:lastModifiedBy>
  <cp:lastPrinted>2026-06-06T09:11:00Z</cp:lastPrinted>
  <dcterms:modified xsi:type="dcterms:W3CDTF">2026-06-14T08:50:49Z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eyJoZGlkIjoiNTJlZWE1MzIxMjg3MmMwNTgyOWRkOTNiM2RhNGM3NzciLCJ1c2VySWQiOiIyNzg4NzgzMjUifQ==</vt:lpwstr>
  </property>
  <property fmtid="{D5CDD505-2E9C-101B-9397-08002B2CF9AE}" pid="4" name="ICV">
    <vt:lpwstr>7A555C113A734E43BD71CF0F01E4F4E8_12</vt:lpwstr>
  </property>
</Properties>
</file>