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F20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黑体" w:hAnsi="黑体" w:eastAsia="黑体" w:cs="黑体"/>
          <w:b w:val="0"/>
          <w:bCs w:val="0"/>
          <w:color w:val="000000" w:themeColor="text1"/>
          <w:kern w:val="2"/>
          <w:sz w:val="36"/>
          <w:szCs w:val="36"/>
          <w:highlight w:val="none"/>
          <w:lang w:val="en-US" w:eastAsia="zh-CN" w:bidi="ar-SA"/>
          <w14:textFill>
            <w14:solidFill>
              <w14:schemeClr w14:val="tx1"/>
            </w14:solidFill>
          </w14:textFill>
        </w:rPr>
      </w:pPr>
      <w:r>
        <w:rPr>
          <w:rFonts w:hint="eastAsia" w:ascii="黑体" w:hAnsi="黑体" w:eastAsia="黑体" w:cs="黑体"/>
          <w:b w:val="0"/>
          <w:bCs w:val="0"/>
          <w:color w:val="000000" w:themeColor="text1"/>
          <w:kern w:val="2"/>
          <w:sz w:val="36"/>
          <w:szCs w:val="36"/>
          <w:highlight w:val="none"/>
          <w:lang w:val="en-US" w:eastAsia="zh-CN" w:bidi="ar-SA"/>
          <w14:textFill>
            <w14:solidFill>
              <w14:schemeClr w14:val="tx1"/>
            </w14:solidFill>
          </w14:textFill>
        </w:rPr>
        <w:t>山西省防水保温行业协会分支机构管理制度</w:t>
      </w:r>
    </w:p>
    <w:p w14:paraId="62EF7AEE">
      <w:pPr>
        <w:jc w:val="center"/>
        <w:rPr>
          <w:rFonts w:hint="eastAsia" w:ascii="宋体" w:hAnsi="宋体" w:eastAsia="宋体" w:cs="宋体"/>
          <w:lang w:eastAsia="zh-CN"/>
        </w:rPr>
      </w:pPr>
      <w:r>
        <w:rPr>
          <w:rFonts w:hint="eastAsia" w:ascii="宋体" w:hAnsi="宋体" w:eastAsia="宋体" w:cs="宋体"/>
        </w:rPr>
        <w:t>(本办法于20</w:t>
      </w:r>
      <w:r>
        <w:rPr>
          <w:rFonts w:hint="eastAsia" w:ascii="宋体" w:hAnsi="宋体" w:eastAsia="宋体" w:cs="宋体"/>
          <w:lang w:val="en-US" w:eastAsia="zh-CN"/>
        </w:rPr>
        <w:t>24</w:t>
      </w:r>
      <w:r>
        <w:rPr>
          <w:rFonts w:hint="eastAsia" w:ascii="宋体" w:hAnsi="宋体" w:eastAsia="宋体" w:cs="宋体"/>
        </w:rPr>
        <w:t>年</w:t>
      </w:r>
      <w:r>
        <w:rPr>
          <w:rFonts w:hint="eastAsia" w:ascii="宋体" w:hAnsi="宋体" w:eastAsia="宋体" w:cs="宋体"/>
          <w:lang w:val="en-US" w:eastAsia="zh-CN"/>
        </w:rPr>
        <w:t>11</w:t>
      </w:r>
      <w:r>
        <w:rPr>
          <w:rFonts w:hint="eastAsia" w:ascii="宋体" w:hAnsi="宋体" w:eastAsia="宋体" w:cs="宋体"/>
        </w:rPr>
        <w:t>月</w:t>
      </w:r>
      <w:r>
        <w:rPr>
          <w:rFonts w:hint="eastAsia" w:ascii="宋体" w:hAnsi="宋体" w:eastAsia="宋体" w:cs="宋体"/>
          <w:lang w:val="en-US" w:eastAsia="zh-CN"/>
        </w:rPr>
        <w:t>9</w:t>
      </w:r>
      <w:r>
        <w:rPr>
          <w:rFonts w:hint="eastAsia" w:ascii="宋体" w:hAnsi="宋体" w:eastAsia="宋体" w:cs="宋体"/>
        </w:rPr>
        <w:t>日经</w:t>
      </w:r>
      <w:r>
        <w:rPr>
          <w:rFonts w:hint="eastAsia" w:ascii="宋体" w:hAnsi="宋体" w:eastAsia="宋体" w:cs="宋体"/>
          <w:lang w:val="en-US" w:eastAsia="zh-CN"/>
        </w:rPr>
        <w:t>山西省防水保温行业协会二</w:t>
      </w:r>
      <w:r>
        <w:rPr>
          <w:rFonts w:hint="eastAsia" w:ascii="宋体" w:hAnsi="宋体" w:eastAsia="宋体" w:cs="宋体"/>
        </w:rPr>
        <w:t>届</w:t>
      </w:r>
      <w:r>
        <w:rPr>
          <w:rFonts w:hint="eastAsia" w:ascii="宋体" w:hAnsi="宋体" w:eastAsia="宋体" w:cs="宋体"/>
          <w:lang w:val="en-US" w:eastAsia="zh-CN"/>
        </w:rPr>
        <w:t>二</w:t>
      </w:r>
      <w:r>
        <w:rPr>
          <w:rFonts w:hint="eastAsia" w:ascii="宋体" w:hAnsi="宋体" w:eastAsia="宋体" w:cs="宋体"/>
        </w:rPr>
        <w:t>次</w:t>
      </w:r>
      <w:r>
        <w:rPr>
          <w:rFonts w:hint="eastAsia" w:ascii="宋体" w:hAnsi="宋体" w:eastAsia="宋体" w:cs="宋体"/>
          <w:lang w:val="en-US" w:eastAsia="zh-CN"/>
        </w:rPr>
        <w:t>理事会</w:t>
      </w:r>
    </w:p>
    <w:p w14:paraId="68B5C411">
      <w:pPr>
        <w:jc w:val="center"/>
        <w:rPr>
          <w:rFonts w:hint="eastAsia" w:ascii="宋体" w:hAnsi="宋体" w:eastAsia="宋体" w:cs="宋体"/>
        </w:rPr>
      </w:pPr>
      <w:r>
        <w:rPr>
          <w:rFonts w:hint="eastAsia" w:ascii="宋体" w:hAnsi="宋体" w:eastAsia="宋体" w:cs="宋体"/>
        </w:rPr>
        <w:t>审议通过)</w:t>
      </w:r>
    </w:p>
    <w:p w14:paraId="62C4E1D5">
      <w:pPr>
        <w:rPr>
          <w:rFonts w:hint="eastAsia"/>
        </w:rPr>
      </w:pPr>
    </w:p>
    <w:p w14:paraId="3BCD19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第一章 总则</w:t>
      </w:r>
    </w:p>
    <w:p w14:paraId="060A67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第一条</w:t>
      </w:r>
      <w:r>
        <w:rPr>
          <w:rFonts w:hint="eastAsia" w:ascii="仿宋_GB2312" w:hAnsi="仿宋_GB2312" w:eastAsia="仿宋_GB2312" w:cs="仿宋_GB2312"/>
          <w:b w:val="0"/>
          <w:bCs w:val="0"/>
          <w:color w:val="333333"/>
          <w:kern w:val="0"/>
          <w:sz w:val="30"/>
          <w:szCs w:val="30"/>
          <w:lang w:val="en-US" w:eastAsia="zh-CN" w:bidi="ar"/>
        </w:rPr>
        <w:t xml:space="preserve"> 制定目的与依据</w:t>
      </w:r>
    </w:p>
    <w:p w14:paraId="1666533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为规范协会分支机构（含专业委员会、分会、代表处等）运营管理，明确权责边界，保障分支机构依法依规开展活动，依据《社会团体登记管理条例》《民政部关于贯彻落实国务院取消全国性社会团体分支机构登记行政审批项目的决定有关问题的通知》及本协会章程，制定本制度。</w:t>
      </w:r>
    </w:p>
    <w:p w14:paraId="06E91C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第二条</w:t>
      </w:r>
      <w:r>
        <w:rPr>
          <w:rFonts w:hint="eastAsia" w:ascii="仿宋_GB2312" w:hAnsi="仿宋_GB2312" w:eastAsia="仿宋_GB2312" w:cs="仿宋_GB2312"/>
          <w:b w:val="0"/>
          <w:bCs w:val="0"/>
          <w:color w:val="333333"/>
          <w:kern w:val="0"/>
          <w:sz w:val="30"/>
          <w:szCs w:val="30"/>
          <w:lang w:val="en-US" w:eastAsia="zh-CN" w:bidi="ar"/>
        </w:rPr>
        <w:t xml:space="preserve"> 分支机构定义与属性</w:t>
      </w:r>
    </w:p>
    <w:p w14:paraId="6A21180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1、分支机构是协会根据业务范围划分、会员组成特点或工作需要设立的专门从事专项业务活动的机构，不具有法人资格，无独立章程，法律责任由协会承担。</w:t>
      </w:r>
    </w:p>
    <w:p w14:paraId="7E861E2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2代表机构是协会在住所地外活动区域设置的，负责联络、交流、承办交办事项的机构。</w:t>
      </w:r>
    </w:p>
    <w:p w14:paraId="0F45E98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3、分支机构不得再设立分支机构，不得设立地域性分支机构。</w:t>
      </w:r>
    </w:p>
    <w:p w14:paraId="1064A8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第三条</w:t>
      </w:r>
      <w:r>
        <w:rPr>
          <w:rFonts w:hint="eastAsia" w:ascii="仿宋_GB2312" w:hAnsi="仿宋_GB2312" w:eastAsia="仿宋_GB2312" w:cs="仿宋_GB2312"/>
          <w:b w:val="0"/>
          <w:bCs w:val="0"/>
          <w:color w:val="333333"/>
          <w:kern w:val="0"/>
          <w:sz w:val="30"/>
          <w:szCs w:val="30"/>
          <w:lang w:val="en-US" w:eastAsia="zh-CN" w:bidi="ar"/>
        </w:rPr>
        <w:t xml:space="preserve"> 适用范围</w:t>
      </w:r>
    </w:p>
    <w:p w14:paraId="75391E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本制度适用于协会所有分支机构的设立、运行、变更、终止及日常监督管理。</w:t>
      </w:r>
    </w:p>
    <w:p w14:paraId="64F2C1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第二章 设立、变更与终止</w:t>
      </w:r>
    </w:p>
    <w:p w14:paraId="1C1924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第四条</w:t>
      </w:r>
      <w:r>
        <w:rPr>
          <w:rFonts w:hint="eastAsia" w:ascii="仿宋_GB2312" w:hAnsi="仿宋_GB2312" w:eastAsia="仿宋_GB2312" w:cs="仿宋_GB2312"/>
          <w:b w:val="0"/>
          <w:bCs w:val="0"/>
          <w:color w:val="333333"/>
          <w:kern w:val="0"/>
          <w:sz w:val="30"/>
          <w:szCs w:val="30"/>
          <w:lang w:val="en-US" w:eastAsia="zh-CN" w:bidi="ar"/>
        </w:rPr>
        <w:t xml:space="preserve"> 设立条件</w:t>
      </w:r>
    </w:p>
    <w:p w14:paraId="1426025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1、符合协会章程宗旨及业务范围，无业务范围重叠或冲突。</w:t>
      </w:r>
    </w:p>
    <w:p w14:paraId="22A193A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2、具备规范名称，名称前须冠以协会全称，不得使用 “中国”“中华”“全国”“国家” 等字样及地域性标识。</w:t>
      </w:r>
    </w:p>
    <w:p w14:paraId="574DB4D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3、有固定办公场所及与业务匹配的工作人员、经费保障。</w:t>
      </w:r>
    </w:p>
    <w:p w14:paraId="1902729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4、有明确的业务范围、工作任务及发展规划。</w:t>
      </w:r>
    </w:p>
    <w:p w14:paraId="26AA75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第五条</w:t>
      </w:r>
      <w:r>
        <w:rPr>
          <w:rFonts w:hint="eastAsia" w:ascii="仿宋_GB2312" w:hAnsi="仿宋_GB2312" w:eastAsia="仿宋_GB2312" w:cs="仿宋_GB2312"/>
          <w:b w:val="0"/>
          <w:bCs w:val="0"/>
          <w:color w:val="333333"/>
          <w:kern w:val="0"/>
          <w:sz w:val="30"/>
          <w:szCs w:val="30"/>
          <w:lang w:val="en-US" w:eastAsia="zh-CN" w:bidi="ar"/>
        </w:rPr>
        <w:t xml:space="preserve"> 设立程序</w:t>
      </w:r>
    </w:p>
    <w:p w14:paraId="3FBC1BD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1、发起人或拟任负责人向协会秘书处提交设立申请，附申请报告、办公场所证明、拟任负责人基本情况及身份证明等材料。</w:t>
      </w:r>
    </w:p>
    <w:p w14:paraId="461B6BF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2、秘书处审核后，提交协会理事会审议表决。</w:t>
      </w:r>
    </w:p>
    <w:p w14:paraId="67AC5A6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3、审议通过后，由协会印发同意文件并公告，分支机构正式成立。</w:t>
      </w:r>
    </w:p>
    <w:p w14:paraId="4D0AE0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第六条</w:t>
      </w:r>
      <w:r>
        <w:rPr>
          <w:rFonts w:hint="eastAsia" w:ascii="仿宋_GB2312" w:hAnsi="仿宋_GB2312" w:eastAsia="仿宋_GB2312" w:cs="仿宋_GB2312"/>
          <w:b w:val="0"/>
          <w:bCs w:val="0"/>
          <w:color w:val="333333"/>
          <w:kern w:val="0"/>
          <w:sz w:val="30"/>
          <w:szCs w:val="30"/>
          <w:lang w:val="en-US" w:eastAsia="zh-CN" w:bidi="ar"/>
        </w:rPr>
        <w:t xml:space="preserve"> 变更管理</w:t>
      </w:r>
    </w:p>
    <w:p w14:paraId="3EE72EE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1、分支机构变更名称、业务范围、负责人、办公场所，需向协会提交变更申请及相关决议、证明材料。</w:t>
      </w:r>
    </w:p>
    <w:p w14:paraId="040F019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2、经协会理事会审议通过后，办理变更手续，变更办公场所需将新址产权证明报秘书处备案。</w:t>
      </w:r>
    </w:p>
    <w:p w14:paraId="124F770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3、负责人变更需提交新任负责人基本情况及身份证明，且不得在协会分支机构间交叉重复任职。</w:t>
      </w:r>
    </w:p>
    <w:p w14:paraId="3F0162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第七条</w:t>
      </w:r>
      <w:r>
        <w:rPr>
          <w:rFonts w:hint="eastAsia" w:ascii="仿宋_GB2312" w:hAnsi="仿宋_GB2312" w:eastAsia="仿宋_GB2312" w:cs="仿宋_GB2312"/>
          <w:b w:val="0"/>
          <w:bCs w:val="0"/>
          <w:color w:val="333333"/>
          <w:kern w:val="0"/>
          <w:sz w:val="30"/>
          <w:szCs w:val="30"/>
          <w:lang w:val="en-US" w:eastAsia="zh-CN" w:bidi="ar"/>
        </w:rPr>
        <w:t xml:space="preserve"> 终止情形与程序</w:t>
      </w:r>
    </w:p>
    <w:p w14:paraId="54061AD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1、有下列情形之一的，协会予以终止分支机构：完成设立目标或无存续必要；连续 2 年未开展实际业务；违反法律法规或协会章程造成严重影响；内部管理混乱无法正常运行；不符合行业发展需要。</w:t>
      </w:r>
    </w:p>
    <w:p w14:paraId="30CD5E6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2、终止程序：协会秘书处提出终止建议，提交理事会审议；审议通过后，办理注销手续，公告终止结果；完成资产清算、档案移交等工作，清算责任由分支机构主要负责人承担。</w:t>
      </w:r>
    </w:p>
    <w:p w14:paraId="4B5DBC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第三章 组织架构与运行管理</w:t>
      </w:r>
    </w:p>
    <w:p w14:paraId="114D04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第八条</w:t>
      </w:r>
      <w:r>
        <w:rPr>
          <w:rFonts w:hint="eastAsia" w:ascii="仿宋_GB2312" w:hAnsi="仿宋_GB2312" w:eastAsia="仿宋_GB2312" w:cs="仿宋_GB2312"/>
          <w:b w:val="0"/>
          <w:bCs w:val="0"/>
          <w:color w:val="333333"/>
          <w:kern w:val="0"/>
          <w:sz w:val="30"/>
          <w:szCs w:val="30"/>
          <w:lang w:val="en-US" w:eastAsia="zh-CN" w:bidi="ar"/>
        </w:rPr>
        <w:t xml:space="preserve"> 组织架构</w:t>
      </w:r>
    </w:p>
    <w:p w14:paraId="560D95F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1、分支机构设主任委员、副主任委员（统称负责人）及秘书长，领导班子一般 3-7人，每届任期2年，可连选连任，负责人由协会理事或副会长单位人员担任。</w:t>
      </w:r>
    </w:p>
    <w:p w14:paraId="1EDF274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2、分支机构设立秘书处作为常设工作机构，配备专职工作人员，秘书长可通过选举、聘任或公开招聘产生，人选需报协会审定。</w:t>
      </w:r>
    </w:p>
    <w:p w14:paraId="7421D33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3、分支机构主要负责人、副主任委员、秘书长、副秘书长不得在协会分支机构间交叉任职。</w:t>
      </w:r>
    </w:p>
    <w:p w14:paraId="7D0AA0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第九条</w:t>
      </w:r>
      <w:r>
        <w:rPr>
          <w:rFonts w:hint="eastAsia" w:ascii="仿宋_GB2312" w:hAnsi="仿宋_GB2312" w:eastAsia="仿宋_GB2312" w:cs="仿宋_GB2312"/>
          <w:b w:val="0"/>
          <w:bCs w:val="0"/>
          <w:color w:val="333333"/>
          <w:kern w:val="0"/>
          <w:sz w:val="30"/>
          <w:szCs w:val="30"/>
          <w:lang w:val="en-US" w:eastAsia="zh-CN" w:bidi="ar"/>
        </w:rPr>
        <w:t xml:space="preserve"> 主要职责</w:t>
      </w:r>
    </w:p>
    <w:p w14:paraId="0DCE0B2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1、落实协会年度工作计划，结合业务领域开展专业服务、行业调研、标准推广、技术交流、人才培训等活动。</w:t>
      </w:r>
    </w:p>
    <w:p w14:paraId="544B0DA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2、协助协会发展会员，使用协会统一会员登记表，会员资料报协会秘书处存档，由协会统一发放证书、管理会员数据库。</w:t>
      </w:r>
    </w:p>
    <w:p w14:paraId="12366B9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3、制定本分支机构工作细则及内部管理制度，报协会备案后实施。</w:t>
      </w:r>
    </w:p>
    <w:p w14:paraId="2318C94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4、承担协会交办的其他专项工作，配合协会完成政府委托任务及行业自律工作。</w:t>
      </w:r>
    </w:p>
    <w:p w14:paraId="78B921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第十条</w:t>
      </w:r>
      <w:r>
        <w:rPr>
          <w:rFonts w:hint="eastAsia" w:ascii="仿宋_GB2312" w:hAnsi="仿宋_GB2312" w:eastAsia="仿宋_GB2312" w:cs="仿宋_GB2312"/>
          <w:b w:val="0"/>
          <w:bCs w:val="0"/>
          <w:color w:val="333333"/>
          <w:kern w:val="0"/>
          <w:sz w:val="30"/>
          <w:szCs w:val="30"/>
          <w:lang w:val="en-US" w:eastAsia="zh-CN" w:bidi="ar"/>
        </w:rPr>
        <w:t xml:space="preserve"> 运行规范</w:t>
      </w:r>
    </w:p>
    <w:p w14:paraId="64FC900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1、开展活动须使用协会规范全称，活动前向协会秘书处报备，重大活动（如论坛、展会、评审会）需提交活动方案、应急预案，经协会审核同意后实施。</w:t>
      </w:r>
    </w:p>
    <w:p w14:paraId="4140175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2、不得超业务范围开展活动，不得强制他人参与活动或收取费用，不得与非法社会组织合作。</w:t>
      </w:r>
    </w:p>
    <w:p w14:paraId="08EBA00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3、未经协会审核，不得建立网站、公众号等信息平台，发布信息需严格政治把关，涉及敏感数据的重要文告需提前报协会审核。</w:t>
      </w:r>
    </w:p>
    <w:p w14:paraId="4F25D1F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4、每年2月底前向协会秘书处报送上一年度工作总结及本年度工作计划，接受协会监督指导。</w:t>
      </w:r>
    </w:p>
    <w:p w14:paraId="4752D3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第四章 财务与印章管理</w:t>
      </w:r>
    </w:p>
    <w:p w14:paraId="14CF10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第十一条</w:t>
      </w:r>
      <w:r>
        <w:rPr>
          <w:rFonts w:hint="eastAsia" w:ascii="仿宋_GB2312" w:hAnsi="仿宋_GB2312" w:eastAsia="仿宋_GB2312" w:cs="仿宋_GB2312"/>
          <w:b w:val="0"/>
          <w:bCs w:val="0"/>
          <w:color w:val="333333"/>
          <w:kern w:val="0"/>
          <w:sz w:val="30"/>
          <w:szCs w:val="30"/>
          <w:lang w:val="en-US" w:eastAsia="zh-CN" w:bidi="ar"/>
        </w:rPr>
        <w:t xml:space="preserve"> 财务管理</w:t>
      </w:r>
    </w:p>
    <w:p w14:paraId="708A570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1、分支机构财务纳入协会统一管理，无独立银行账户，不得私设账户、设立 “小金库”，不得将收入转入其他单位或个人账户。</w:t>
      </w:r>
    </w:p>
    <w:p w14:paraId="48271DD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2、会费统一由协会收取，分支机构不得单独收取会费；活动经费可通过会员赞助、协会拨款、合法合作等方式筹集，所有收支需纳入协会法定账户核算。</w:t>
      </w:r>
    </w:p>
    <w:p w14:paraId="5FDCBD3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3、以分支机构名义举办的会议、展览、培训等活动，经费往来需纳入协会统一管理，执行协会财务管理办法，活动前需提交经费预算，事后提交决算。</w:t>
      </w:r>
    </w:p>
    <w:p w14:paraId="62426D9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4、协会定期对分支机构财务状况进行审计，审计结果作为分支机构考核依据。</w:t>
      </w:r>
    </w:p>
    <w:p w14:paraId="23CE93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第十二条</w:t>
      </w:r>
      <w:r>
        <w:rPr>
          <w:rFonts w:hint="eastAsia" w:ascii="仿宋_GB2312" w:hAnsi="仿宋_GB2312" w:eastAsia="仿宋_GB2312" w:cs="仿宋_GB2312"/>
          <w:b w:val="0"/>
          <w:bCs w:val="0"/>
          <w:color w:val="333333"/>
          <w:kern w:val="0"/>
          <w:sz w:val="30"/>
          <w:szCs w:val="30"/>
          <w:lang w:val="en-US" w:eastAsia="zh-CN" w:bidi="ar"/>
        </w:rPr>
        <w:t xml:space="preserve"> 印章管理</w:t>
      </w:r>
    </w:p>
    <w:p w14:paraId="7012A49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1、分支机构印章由协会秘书处统一刻制、保管，仅限用于内部发文、会议通知等内部事务，未经协会书面批准，不得用于签署对外协议、证明材料。</w:t>
      </w:r>
    </w:p>
    <w:p w14:paraId="7F2B859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2、印章使用需履行审批手续，由分支机构负责人提出申请，经协会审核同意后领用，使用后及时归还，不得擅自转借、涂改、出租、出售印章。</w:t>
      </w:r>
    </w:p>
    <w:p w14:paraId="19F5CED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3、分支机构终止时，印章需及时交回协会秘书处，由协会统一销毁或封存。</w:t>
      </w:r>
    </w:p>
    <w:p w14:paraId="4B9DFF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第五章 监督与考核</w:t>
      </w:r>
    </w:p>
    <w:p w14:paraId="45C6EC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第十三条</w:t>
      </w:r>
      <w:r>
        <w:rPr>
          <w:rFonts w:hint="eastAsia" w:ascii="仿宋_GB2312" w:hAnsi="仿宋_GB2312" w:eastAsia="仿宋_GB2312" w:cs="仿宋_GB2312"/>
          <w:b w:val="0"/>
          <w:bCs w:val="0"/>
          <w:color w:val="333333"/>
          <w:kern w:val="0"/>
          <w:sz w:val="30"/>
          <w:szCs w:val="30"/>
          <w:lang w:val="en-US" w:eastAsia="zh-CN" w:bidi="ar"/>
        </w:rPr>
        <w:t xml:space="preserve"> 日常监督</w:t>
      </w:r>
    </w:p>
    <w:p w14:paraId="3054B7C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1、协会秘书处为分支机构日常管理机构，负责审核分支机构设立、变更、终止申请，监督分支机构运行、财务及印章使用情况。</w:t>
      </w:r>
    </w:p>
    <w:p w14:paraId="147C153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2、协会定期对分支机构进行年度检查，检查内容包括业务开展情况、会员管理、财务状况、制度执行等，检查不合格的分支机构需限期整改，整改期为 1 年。</w:t>
      </w:r>
    </w:p>
    <w:p w14:paraId="24DB142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3、建立分支机构负责人述职制度，负责人每年向协会述职，接受评议考核。</w:t>
      </w:r>
    </w:p>
    <w:p w14:paraId="56DBB0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第十四条</w:t>
      </w:r>
      <w:r>
        <w:rPr>
          <w:rFonts w:hint="eastAsia" w:ascii="仿宋_GB2312" w:hAnsi="仿宋_GB2312" w:eastAsia="仿宋_GB2312" w:cs="仿宋_GB2312"/>
          <w:b w:val="0"/>
          <w:bCs w:val="0"/>
          <w:color w:val="333333"/>
          <w:kern w:val="0"/>
          <w:sz w:val="30"/>
          <w:szCs w:val="30"/>
          <w:lang w:val="en-US" w:eastAsia="zh-CN" w:bidi="ar"/>
        </w:rPr>
        <w:t xml:space="preserve"> 考核与奖惩</w:t>
      </w:r>
    </w:p>
    <w:p w14:paraId="1BA8D4B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1、协会建立分支机构考核评价机制，考核结果分为优秀、合格、不合格，考核优秀的分支机构给予表彰奖励，优先获得协会资源支持。</w:t>
      </w:r>
    </w:p>
    <w:p w14:paraId="45F6415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2、考核不合格的分支机构，责令限期整改；整改仍不合格的，暂停其业务活动，必要时启动终止程序。</w:t>
      </w:r>
    </w:p>
    <w:p w14:paraId="6483548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default"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 xml:space="preserve">3、分支机构违反本制度或法律法规，有下列行为之一的，协会视情节轻重给予警告、责令整改、暂停活动、终止分支机构等处理，涉嫌违法的移交相关部门处理：超范围开展活动、违规收费；私设账户、违规使用资金；擅自刻制或使用印章；拒不接受协会监督管理；发生重大安全事故或负面舆情未及时上报。  </w:t>
      </w:r>
    </w:p>
    <w:p w14:paraId="4AAB1C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第十五条</w:t>
      </w:r>
      <w:r>
        <w:rPr>
          <w:rFonts w:hint="eastAsia" w:ascii="仿宋_GB2312" w:hAnsi="仿宋_GB2312" w:eastAsia="仿宋_GB2312" w:cs="仿宋_GB2312"/>
          <w:b w:val="0"/>
          <w:bCs w:val="0"/>
          <w:color w:val="333333"/>
          <w:kern w:val="0"/>
          <w:sz w:val="30"/>
          <w:szCs w:val="30"/>
          <w:lang w:val="en-US" w:eastAsia="zh-CN" w:bidi="ar"/>
        </w:rPr>
        <w:t xml:space="preserve"> 制度解释</w:t>
      </w:r>
    </w:p>
    <w:p w14:paraId="28C23D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本制度由协会秘书处负责解释，未尽事宜参照国家相关法律法规及协会章程执行。</w:t>
      </w:r>
    </w:p>
    <w:p w14:paraId="40F8D1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第十六条</w:t>
      </w:r>
      <w:r>
        <w:rPr>
          <w:rFonts w:hint="eastAsia" w:ascii="仿宋_GB2312" w:hAnsi="仿宋_GB2312" w:eastAsia="仿宋_GB2312" w:cs="仿宋_GB2312"/>
          <w:b w:val="0"/>
          <w:bCs w:val="0"/>
          <w:color w:val="333333"/>
          <w:kern w:val="0"/>
          <w:sz w:val="30"/>
          <w:szCs w:val="30"/>
          <w:lang w:val="en-US" w:eastAsia="zh-CN" w:bidi="ar"/>
        </w:rPr>
        <w:t xml:space="preserve"> 生效日期</w:t>
      </w:r>
    </w:p>
    <w:p w14:paraId="6B38358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本制度经协会二届二</w:t>
      </w:r>
      <w:bookmarkStart w:id="0" w:name="_GoBack"/>
      <w:bookmarkEnd w:id="0"/>
      <w:r>
        <w:rPr>
          <w:rFonts w:hint="eastAsia" w:ascii="仿宋_GB2312" w:hAnsi="仿宋_GB2312" w:eastAsia="仿宋_GB2312" w:cs="仿宋_GB2312"/>
          <w:b w:val="0"/>
          <w:bCs w:val="0"/>
          <w:color w:val="333333"/>
          <w:kern w:val="0"/>
          <w:sz w:val="30"/>
          <w:szCs w:val="30"/>
          <w:lang w:val="en-US" w:eastAsia="zh-CN" w:bidi="ar"/>
        </w:rPr>
        <w:t>次理事会审议通过后生效，自发布之日起施行。原相关规定与本制度不一致的，以本制度为准。</w:t>
      </w:r>
    </w:p>
    <w:p w14:paraId="08D6997A">
      <w:pPr>
        <w:spacing w:line="360" w:lineRule="auto"/>
        <w:rPr>
          <w:rFonts w:hint="eastAsia" w:ascii="仿宋_GB2312" w:hAnsi="仿宋_GB2312" w:eastAsia="仿宋_GB2312" w:cs="仿宋_GB2312"/>
          <w:b w:val="0"/>
          <w:bCs w:val="0"/>
          <w:color w:val="333333"/>
          <w:kern w:val="0"/>
          <w:sz w:val="30"/>
          <w:szCs w:val="30"/>
          <w:lang w:val="en-US" w:eastAsia="zh-CN" w:bidi="ar"/>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7502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57A552">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57A552">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FA866">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ZDc5NjZkZWU5ODkyYzk0NzRmZDc4YWU2MDkyNzQifQ=="/>
  </w:docVars>
  <w:rsids>
    <w:rsidRoot w:val="00000000"/>
    <w:rsid w:val="073B107B"/>
    <w:rsid w:val="11EF7CBB"/>
    <w:rsid w:val="1A7B0083"/>
    <w:rsid w:val="1CBE72F5"/>
    <w:rsid w:val="1D8A68D7"/>
    <w:rsid w:val="27BB51E2"/>
    <w:rsid w:val="28957E76"/>
    <w:rsid w:val="4FBB6A20"/>
    <w:rsid w:val="7B3A6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after="120" w:afterLines="0" w:afterAutospacing="0"/>
      <w:ind w:left="420" w:leftChars="200"/>
    </w:p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5"/>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2481</Words>
  <Characters>2487</Characters>
  <Lines>0</Lines>
  <Paragraphs>0</Paragraphs>
  <TotalTime>5</TotalTime>
  <ScaleCrop>false</ScaleCrop>
  <LinksUpToDate>false</LinksUpToDate>
  <CharactersWithSpaces>2518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2026-04-05T10:10:00Z</dcterms:created>
  <dc:creator>WFF</dc:creator>
  <cp:lastModifiedBy>芳芳</cp:lastModifiedBy>
  <cp:lastPrinted>2026-06-06T08:27:00Z</cp:lastPrinted>
  <dcterms:modified xsi:type="dcterms:W3CDTF">2026-06-14T08:41:54Z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eyJoZGlkIjoiNTJlZWE1MzIxMjg3MmMwNTgyOWRkOTNiM2RhNGM3NzciLCJ1c2VySWQiOiIyNzg4NzgzMjUifQ==</vt:lpwstr>
  </property>
  <property fmtid="{D5CDD505-2E9C-101B-9397-08002B2CF9AE}" pid="4" name="ICV">
    <vt:lpwstr>58DE188387564091AAFF0D9DE24D33ED_12</vt:lpwstr>
  </property>
</Properties>
</file>